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FBF5" w14:textId="532D04B1" w:rsidR="000C251A" w:rsidRDefault="00000000">
      <w:pPr>
        <w:jc w:val="both"/>
        <w:rPr>
          <w:rFonts w:ascii="Arial" w:hAnsi="Arial" w:cs="Arial"/>
          <w:sz w:val="22"/>
          <w:szCs w:val="22"/>
        </w:rPr>
      </w:pPr>
      <w:bookmarkStart w:id="0" w:name="_Hlk134099399"/>
      <w:r>
        <w:rPr>
          <w:rFonts w:ascii="Arial" w:hAnsi="Arial" w:cs="Arial"/>
          <w:sz w:val="22"/>
          <w:szCs w:val="22"/>
        </w:rPr>
        <w:t>EBAZPENA, LURRALDE PLANGINTZAREN ETA HIRI AGENDAREN ZUZENDARIARENA, ZEINAREN BIDEZ KONTSULTA PUBLIKOA EGITEN BAITA DEBAGOIENEKO EREMU FUNTZIONALAREN LURRALDE PLAN PARTZIALAREN BERRIKUSPENA EGIN AURRETIK</w:t>
      </w:r>
      <w:bookmarkEnd w:id="0"/>
    </w:p>
    <w:p w14:paraId="78F5BD04" w14:textId="77777777" w:rsidR="000C251A" w:rsidRDefault="000C251A">
      <w:pPr>
        <w:jc w:val="both"/>
        <w:rPr>
          <w:rFonts w:ascii="Arial" w:hAnsi="Arial" w:cs="Arial"/>
          <w:sz w:val="22"/>
          <w:szCs w:val="22"/>
        </w:rPr>
      </w:pPr>
    </w:p>
    <w:p w14:paraId="3783767F" w14:textId="043B563C" w:rsidR="000C251A" w:rsidRDefault="00000000">
      <w:pPr>
        <w:jc w:val="both"/>
        <w:rPr>
          <w:rFonts w:ascii="Arial" w:hAnsi="Arial" w:cs="Arial"/>
          <w:sz w:val="22"/>
          <w:szCs w:val="22"/>
        </w:rPr>
      </w:pPr>
      <w:r>
        <w:rPr>
          <w:rFonts w:ascii="Arial" w:hAnsi="Arial" w:cs="Arial"/>
          <w:sz w:val="22"/>
          <w:szCs w:val="22"/>
        </w:rPr>
        <w:t>Xedapen Orokorrak Egiteko Prozeduraren ekainaren 30eko 6/2022 Legeak honako hau ezartzen du 11. artikuluan, herritarrei aldez aurretik kontsulta egiteari dagokionez:</w:t>
      </w:r>
    </w:p>
    <w:p w14:paraId="4965A706" w14:textId="77777777" w:rsidR="000C251A" w:rsidRDefault="000C251A">
      <w:pPr>
        <w:jc w:val="both"/>
        <w:rPr>
          <w:rFonts w:ascii="Arial" w:hAnsi="Arial" w:cs="Arial"/>
          <w:sz w:val="22"/>
          <w:szCs w:val="22"/>
        </w:rPr>
      </w:pPr>
    </w:p>
    <w:p w14:paraId="41621C93" w14:textId="77777777" w:rsidR="000C251A" w:rsidRDefault="00000000">
      <w:pPr>
        <w:ind w:left="567" w:right="567"/>
        <w:jc w:val="both"/>
        <w:rPr>
          <w:rFonts w:ascii="Arial" w:hAnsi="Arial" w:cs="Arial"/>
          <w:i/>
          <w:iCs/>
        </w:rPr>
      </w:pPr>
      <w:r>
        <w:rPr>
          <w:rFonts w:ascii="Arial" w:hAnsi="Arial" w:cs="Arial"/>
          <w:i/>
          <w:iCs/>
        </w:rPr>
        <w:t>1. Xedapen orokorraren izapidetzea sustatzen duen zuzendaritza-organo edo -zentroak kontsulta publikoan eskatuko du, testu juridiko arauemaileen proposamenak idatzi aurretik, herritarren gizartearen iritzia. Herritarrei aldez aurreko kontsulta egiteko izapidean behar diren neurriak hartuko dira, emakumeen eta gizonen ordezkaritza orekatua dela eta arautzen den eremuan edo sektorean berdintasuna sustatzen duten elkarteek parte hartzen dutela bermatzeko. Era berean, aurretiazko kontsultetan parte hartzen duten enplegatu administratibo edo herritar guztien hizkuntza-eskubideak errespetatuko dira.</w:t>
      </w:r>
    </w:p>
    <w:p w14:paraId="14F01402" w14:textId="77777777" w:rsidR="000C251A" w:rsidRDefault="000C251A">
      <w:pPr>
        <w:ind w:left="567" w:right="567"/>
        <w:jc w:val="both"/>
        <w:rPr>
          <w:rFonts w:ascii="Arial" w:hAnsi="Arial" w:cs="Arial"/>
          <w:i/>
          <w:iCs/>
        </w:rPr>
      </w:pPr>
    </w:p>
    <w:p w14:paraId="6BEEF7F6" w14:textId="5E4EED3D" w:rsidR="000C251A" w:rsidRDefault="00000000">
      <w:pPr>
        <w:ind w:left="567" w:right="567"/>
        <w:jc w:val="both"/>
        <w:rPr>
          <w:rFonts w:ascii="Arial" w:hAnsi="Arial" w:cs="Arial"/>
          <w:i/>
          <w:iCs/>
        </w:rPr>
      </w:pPr>
      <w:r>
        <w:rPr>
          <w:rFonts w:ascii="Arial" w:hAnsi="Arial" w:cs="Arial"/>
          <w:i/>
          <w:iCs/>
        </w:rPr>
        <w:t>2. Aurretiazko kontsulta kapitulu honek arautzen duen prestaketa-fasean sartzen da, kontuan hartuta herritarrekiko interakzio-izapide bat dela, eta halako moduz egingo dela non xedapenaren hartzaile izan daitezkeen pertsona guztiek beren iritzia emateko aukera izango duten, behar adinako epean eta gutxienez hamabost egunez, eta testu juridiko jakin bat onartu aurretik.</w:t>
      </w:r>
    </w:p>
    <w:p w14:paraId="78C3888B" w14:textId="77777777" w:rsidR="000C251A" w:rsidRDefault="000C251A">
      <w:pPr>
        <w:ind w:left="567" w:right="567"/>
        <w:jc w:val="both"/>
        <w:rPr>
          <w:rFonts w:ascii="Arial" w:hAnsi="Arial" w:cs="Arial"/>
          <w:i/>
          <w:iCs/>
        </w:rPr>
      </w:pPr>
    </w:p>
    <w:p w14:paraId="49AB79EC" w14:textId="005A22ED" w:rsidR="000C251A" w:rsidRDefault="00000000">
      <w:pPr>
        <w:ind w:left="567" w:right="567"/>
        <w:jc w:val="both"/>
        <w:rPr>
          <w:rFonts w:ascii="Arial" w:hAnsi="Arial" w:cs="Arial"/>
          <w:i/>
          <w:iCs/>
        </w:rPr>
      </w:pPr>
      <w:r>
        <w:rPr>
          <w:rFonts w:ascii="Arial" w:hAnsi="Arial" w:cs="Arial"/>
          <w:i/>
          <w:iCs/>
        </w:rPr>
        <w:t>3. Aurretiazko kontsultaren izapidea xedapen orokorraren izapidea sustatu duen zuzendaritza-zentroak edo organoak bete ahal izango du, Euskal Autonomia Erkidegoko Administrazio Publikoaren egoitza elektronikoko iragarki-taulan iragarkia jarrita. Herritarrei berariaz gonbidapena egingo zaie informazioari buruzko iritzia eman dezaten, eta iritzia emango da araua onartzeko beharrari eta egokitasunari buruz, arauaren helburuei buruz, konpondu nahi diren arazoei buruz eta izan litezkeen bestelako aukera erregulatzaile eta ez-erregulatzaileei buruz.</w:t>
      </w:r>
    </w:p>
    <w:p w14:paraId="1CFA9D44" w14:textId="77777777" w:rsidR="000C251A" w:rsidRDefault="000C251A">
      <w:pPr>
        <w:ind w:left="567" w:right="567"/>
        <w:jc w:val="both"/>
        <w:rPr>
          <w:rFonts w:ascii="Arial" w:hAnsi="Arial" w:cs="Arial"/>
          <w:i/>
          <w:iCs/>
        </w:rPr>
      </w:pPr>
    </w:p>
    <w:p w14:paraId="52713FC1" w14:textId="77777777" w:rsidR="000C251A" w:rsidRDefault="00000000">
      <w:pPr>
        <w:ind w:left="567" w:right="567"/>
        <w:jc w:val="both"/>
        <w:rPr>
          <w:rFonts w:ascii="Arial" w:hAnsi="Arial" w:cs="Arial"/>
          <w:i/>
          <w:iCs/>
        </w:rPr>
      </w:pPr>
      <w:r>
        <w:rPr>
          <w:rFonts w:ascii="Arial" w:hAnsi="Arial" w:cs="Arial"/>
          <w:i/>
          <w:iCs/>
        </w:rPr>
        <w:t>4. Testu juridiko arauemaile bat onartu ondoren, prozedura arauemailearen instrukzio-faseko entzunaldiaren eta jendaurreko informazioaren izapideak artikulu honetan jasotako herritarren parte-hartzearen eskakizuna bete dezake, memorietan jasota utziz.</w:t>
      </w:r>
    </w:p>
    <w:p w14:paraId="5DA7B3F7" w14:textId="77777777" w:rsidR="000C251A" w:rsidRDefault="000C251A">
      <w:pPr>
        <w:jc w:val="both"/>
        <w:rPr>
          <w:rFonts w:ascii="Arial" w:hAnsi="Arial" w:cs="Arial"/>
          <w:sz w:val="22"/>
          <w:szCs w:val="22"/>
        </w:rPr>
      </w:pPr>
    </w:p>
    <w:p w14:paraId="3BA5E0A5" w14:textId="71575D47" w:rsidR="000C251A" w:rsidRDefault="00000000">
      <w:pPr>
        <w:jc w:val="both"/>
        <w:rPr>
          <w:rFonts w:ascii="Arial" w:hAnsi="Arial" w:cs="Arial"/>
          <w:sz w:val="22"/>
          <w:szCs w:val="22"/>
        </w:rPr>
      </w:pPr>
      <w:r>
        <w:rPr>
          <w:rFonts w:ascii="Arial" w:hAnsi="Arial" w:cs="Arial"/>
          <w:sz w:val="22"/>
          <w:szCs w:val="22"/>
        </w:rPr>
        <w:t>Bestalde, Administrazio Publikoen Administrazio Prozedura Erkidearen urriaren 1eko 39/2015 Legearen 133.1 artikuluak xedatzen duenez, etorkizuneko arauak uki ditzakeen subjektuek eta antolakunderik ordezkagarrienek honako hauei buruz duten iritzia jasoko da: ekimenarekin konpondu nahi diren arazoak, araua onartzeko premia eta egokitasuna, arauaren helburuak eta egon daitezkeen bestelako aukera erregulatzaile eta ez-erregulatzaileak.</w:t>
      </w:r>
    </w:p>
    <w:p w14:paraId="2A9F899B" w14:textId="77777777" w:rsidR="000C251A" w:rsidRDefault="000C251A">
      <w:pPr>
        <w:jc w:val="both"/>
        <w:rPr>
          <w:rFonts w:ascii="Arial" w:hAnsi="Arial" w:cs="Arial"/>
          <w:sz w:val="22"/>
          <w:szCs w:val="22"/>
        </w:rPr>
      </w:pPr>
    </w:p>
    <w:p w14:paraId="3C60362C" w14:textId="580648B0" w:rsidR="000C251A" w:rsidRDefault="00000000">
      <w:pPr>
        <w:jc w:val="both"/>
        <w:rPr>
          <w:rFonts w:ascii="Arial" w:hAnsi="Arial" w:cs="Arial"/>
          <w:sz w:val="22"/>
          <w:szCs w:val="22"/>
        </w:rPr>
      </w:pPr>
      <w:r>
        <w:rPr>
          <w:rFonts w:ascii="Arial" w:hAnsi="Arial" w:cs="Arial"/>
          <w:sz w:val="22"/>
          <w:szCs w:val="22"/>
        </w:rPr>
        <w:t>Lurralde Plangintza, Etxebizitza eta Garraio Saileko Lurralde Plangintzaren eta Hiri Agendaren Zuzendaritza da Debagoieneko eremu funtzionalaren Lurralde Plan Partzialaren berrikuspenari hasiera emango dion organo sustatzailea. Beraz, artikulu horretan ezarritakoa betez eta herritarrek berrikuspenaren prozeduran parte har dezaten bultzatzeko, 15 eguneko epea irekitzen da kontsulta publikoa egiteko, bai Euskal Autonomia Erkidegoko Administrazio Orokorraren egoitza elektronikoko iragarki-taularen bidez, bai Jaurlaritzaren proposamen-gunearen bidez (Irekia komunikazio-kanala eta Legegunea webguneko garrantzi juridikoko informazioari buruzko atala).</w:t>
      </w:r>
    </w:p>
    <w:p w14:paraId="60E95BF0" w14:textId="7378FFB8" w:rsidR="000C251A" w:rsidRDefault="000C251A">
      <w:pPr>
        <w:jc w:val="both"/>
        <w:rPr>
          <w:rFonts w:ascii="Arial" w:hAnsi="Arial" w:cs="Arial"/>
          <w:sz w:val="22"/>
          <w:szCs w:val="22"/>
        </w:rPr>
      </w:pPr>
    </w:p>
    <w:p w14:paraId="03F72784" w14:textId="62C81F27" w:rsidR="000C251A" w:rsidRDefault="00000000">
      <w:pPr>
        <w:jc w:val="both"/>
        <w:rPr>
          <w:rFonts w:ascii="Arial" w:hAnsi="Arial" w:cs="Arial"/>
          <w:sz w:val="22"/>
          <w:szCs w:val="22"/>
        </w:rPr>
      </w:pPr>
      <w:r>
        <w:rPr>
          <w:rFonts w:ascii="Arial" w:hAnsi="Arial" w:cs="Arial"/>
          <w:sz w:val="22"/>
          <w:szCs w:val="22"/>
        </w:rPr>
        <w:t>Horrenbestez, honako hau</w:t>
      </w:r>
    </w:p>
    <w:p w14:paraId="32600112" w14:textId="2815EA94" w:rsidR="000C251A" w:rsidRDefault="000C251A">
      <w:pPr>
        <w:jc w:val="center"/>
        <w:rPr>
          <w:rFonts w:ascii="Arial" w:hAnsi="Arial" w:cs="Arial"/>
          <w:sz w:val="22"/>
          <w:szCs w:val="22"/>
        </w:rPr>
      </w:pPr>
    </w:p>
    <w:p w14:paraId="6BD4FDD7" w14:textId="194D5A2C" w:rsidR="000C251A" w:rsidRDefault="00000000">
      <w:pPr>
        <w:jc w:val="center"/>
        <w:rPr>
          <w:rFonts w:ascii="Arial" w:hAnsi="Arial" w:cs="Arial"/>
          <w:sz w:val="22"/>
          <w:szCs w:val="22"/>
        </w:rPr>
      </w:pPr>
      <w:r>
        <w:rPr>
          <w:rFonts w:ascii="Arial" w:hAnsi="Arial" w:cs="Arial"/>
          <w:sz w:val="22"/>
          <w:szCs w:val="22"/>
        </w:rPr>
        <w:lastRenderedPageBreak/>
        <w:t>EBAZTEN DUT</w:t>
      </w:r>
    </w:p>
    <w:p w14:paraId="47890E65" w14:textId="6FFA0C4F" w:rsidR="000C251A" w:rsidRDefault="000C251A">
      <w:pPr>
        <w:jc w:val="center"/>
        <w:rPr>
          <w:rFonts w:ascii="Arial" w:hAnsi="Arial" w:cs="Arial"/>
          <w:sz w:val="22"/>
          <w:szCs w:val="22"/>
        </w:rPr>
      </w:pPr>
    </w:p>
    <w:p w14:paraId="66B727CF" w14:textId="543A02B3" w:rsidR="000C251A" w:rsidRDefault="00000000">
      <w:pPr>
        <w:jc w:val="both"/>
        <w:rPr>
          <w:rFonts w:ascii="Arial" w:hAnsi="Arial" w:cs="Arial"/>
          <w:sz w:val="22"/>
          <w:szCs w:val="22"/>
        </w:rPr>
      </w:pPr>
      <w:r>
        <w:rPr>
          <w:rFonts w:ascii="Arial" w:hAnsi="Arial" w:cs="Arial"/>
          <w:b/>
          <w:bCs/>
          <w:sz w:val="22"/>
          <w:szCs w:val="22"/>
        </w:rPr>
        <w:t>Lehenengoa. – Debagoieneko Eremu Funtzionalaren Lurralde Plan Partzialaren berrikuspena, egin aurretik, jendaurrean jartzea, 15 egun balioduneko epean, ebazpen hau egoitza elektronikoko iragarki-taulan argitaratu eta hurrengo egunetik aurrera.</w:t>
      </w:r>
    </w:p>
    <w:p w14:paraId="07394EE9" w14:textId="3C94EF1A" w:rsidR="000C251A" w:rsidRDefault="000C251A">
      <w:pPr>
        <w:jc w:val="both"/>
        <w:rPr>
          <w:rFonts w:ascii="Arial" w:hAnsi="Arial" w:cs="Arial"/>
          <w:sz w:val="22"/>
          <w:szCs w:val="22"/>
        </w:rPr>
      </w:pPr>
    </w:p>
    <w:p w14:paraId="38A58399" w14:textId="4A284C14" w:rsidR="000C251A" w:rsidRDefault="00000000">
      <w:pPr>
        <w:jc w:val="both"/>
        <w:rPr>
          <w:rFonts w:ascii="Arial" w:hAnsi="Arial" w:cs="Arial"/>
          <w:sz w:val="22"/>
          <w:szCs w:val="22"/>
        </w:rPr>
      </w:pPr>
      <w:r>
        <w:rPr>
          <w:rFonts w:ascii="Arial" w:hAnsi="Arial" w:cs="Arial"/>
          <w:b/>
          <w:bCs/>
          <w:sz w:val="22"/>
          <w:szCs w:val="22"/>
        </w:rPr>
        <w:t>Bigarrena.- Ebazpen honen eranskina onartzea, herritarrek ekimenari buruzko iritzia eman dezaten behar den informazioarekin.</w:t>
      </w:r>
    </w:p>
    <w:p w14:paraId="725F41F0" w14:textId="4B7191B1" w:rsidR="000C251A" w:rsidRDefault="000C251A">
      <w:pPr>
        <w:jc w:val="both"/>
        <w:rPr>
          <w:rFonts w:ascii="Arial" w:hAnsi="Arial" w:cs="Arial"/>
          <w:sz w:val="22"/>
          <w:szCs w:val="22"/>
        </w:rPr>
      </w:pPr>
    </w:p>
    <w:p w14:paraId="5EEF16BB" w14:textId="1547DF33" w:rsidR="000C251A" w:rsidRDefault="000C251A">
      <w:pPr>
        <w:jc w:val="both"/>
        <w:rPr>
          <w:rFonts w:ascii="Arial" w:hAnsi="Arial" w:cs="Arial"/>
          <w:sz w:val="22"/>
          <w:szCs w:val="22"/>
        </w:rPr>
      </w:pPr>
    </w:p>
    <w:p w14:paraId="014A6426" w14:textId="1DF0B743" w:rsidR="000C251A" w:rsidRDefault="000C251A">
      <w:pPr>
        <w:jc w:val="both"/>
        <w:rPr>
          <w:rFonts w:ascii="Arial" w:hAnsi="Arial" w:cs="Arial"/>
          <w:sz w:val="22"/>
          <w:szCs w:val="22"/>
        </w:rPr>
      </w:pPr>
    </w:p>
    <w:p w14:paraId="35185C96" w14:textId="77777777" w:rsidR="000C251A" w:rsidRDefault="00000000">
      <w:pPr>
        <w:jc w:val="center"/>
        <w:rPr>
          <w:rFonts w:ascii="Arial" w:hAnsi="Arial" w:cs="Arial"/>
          <w:sz w:val="22"/>
          <w:szCs w:val="22"/>
        </w:rPr>
      </w:pPr>
      <w:r>
        <w:rPr>
          <w:rFonts w:ascii="Arial" w:hAnsi="Arial" w:cs="Arial"/>
          <w:sz w:val="22"/>
          <w:szCs w:val="22"/>
        </w:rPr>
        <w:t>Vitoria-Gasteiz</w:t>
      </w:r>
    </w:p>
    <w:p w14:paraId="02A4A7FC" w14:textId="77777777" w:rsidR="000C251A" w:rsidRDefault="00000000">
      <w:pPr>
        <w:jc w:val="center"/>
        <w:rPr>
          <w:rFonts w:ascii="Arial" w:hAnsi="Arial" w:cs="Arial"/>
          <w:sz w:val="22"/>
          <w:szCs w:val="22"/>
        </w:rPr>
      </w:pPr>
      <w:r>
        <w:rPr>
          <w:rFonts w:ascii="Arial" w:hAnsi="Arial" w:cs="Arial"/>
          <w:sz w:val="22"/>
          <w:szCs w:val="22"/>
        </w:rPr>
        <w:t>Lurralde Plangintzaren eta Hiri Agendaren zuzendaria</w:t>
      </w:r>
    </w:p>
    <w:p w14:paraId="01CD1896" w14:textId="77777777" w:rsidR="000C251A" w:rsidRDefault="000C251A">
      <w:pPr>
        <w:jc w:val="center"/>
        <w:rPr>
          <w:rFonts w:ascii="Arial" w:hAnsi="Arial" w:cs="Arial"/>
          <w:sz w:val="22"/>
          <w:szCs w:val="22"/>
        </w:rPr>
      </w:pPr>
    </w:p>
    <w:p w14:paraId="3434E226" w14:textId="77777777" w:rsidR="000C251A" w:rsidRDefault="000C251A">
      <w:pPr>
        <w:jc w:val="center"/>
        <w:rPr>
          <w:rFonts w:ascii="Arial" w:hAnsi="Arial" w:cs="Arial"/>
          <w:sz w:val="22"/>
          <w:szCs w:val="22"/>
        </w:rPr>
      </w:pPr>
    </w:p>
    <w:p w14:paraId="6BD4AA5B" w14:textId="77777777" w:rsidR="000C251A" w:rsidRDefault="000C251A">
      <w:pPr>
        <w:jc w:val="center"/>
        <w:rPr>
          <w:rFonts w:ascii="Arial" w:hAnsi="Arial" w:cs="Arial"/>
          <w:sz w:val="22"/>
          <w:szCs w:val="22"/>
        </w:rPr>
      </w:pPr>
    </w:p>
    <w:p w14:paraId="58986675" w14:textId="77777777" w:rsidR="000C251A" w:rsidRDefault="00000000">
      <w:pPr>
        <w:jc w:val="center"/>
        <w:rPr>
          <w:rFonts w:ascii="Arial" w:hAnsi="Arial" w:cs="Arial"/>
          <w:sz w:val="22"/>
          <w:szCs w:val="22"/>
        </w:rPr>
      </w:pPr>
      <w:r>
        <w:rPr>
          <w:rFonts w:ascii="Arial" w:hAnsi="Arial" w:cs="Arial"/>
          <w:sz w:val="22"/>
          <w:szCs w:val="22"/>
        </w:rPr>
        <w:t>IGNACIO DE LA PUERTA RUEDA</w:t>
      </w:r>
    </w:p>
    <w:p w14:paraId="699F8B04" w14:textId="77777777" w:rsidR="000C251A" w:rsidRDefault="000C251A">
      <w:pPr>
        <w:jc w:val="both"/>
        <w:rPr>
          <w:rFonts w:ascii="Arial" w:hAnsi="Arial" w:cs="Arial"/>
          <w:sz w:val="22"/>
          <w:szCs w:val="22"/>
        </w:rPr>
      </w:pPr>
    </w:p>
    <w:p w14:paraId="36B33452" w14:textId="77777777" w:rsidR="000C251A" w:rsidRDefault="000C251A">
      <w:pPr>
        <w:jc w:val="both"/>
        <w:rPr>
          <w:rFonts w:ascii="Arial" w:hAnsi="Arial" w:cs="Arial"/>
          <w:sz w:val="22"/>
          <w:szCs w:val="22"/>
        </w:rPr>
      </w:pPr>
    </w:p>
    <w:p w14:paraId="62DEF98A" w14:textId="6D5A5CA5" w:rsidR="000C251A" w:rsidRDefault="00000000">
      <w:pPr>
        <w:rPr>
          <w:rFonts w:ascii="Arial" w:hAnsi="Arial" w:cs="Arial"/>
          <w:sz w:val="22"/>
          <w:szCs w:val="22"/>
        </w:rPr>
      </w:pPr>
      <w:r>
        <w:rPr>
          <w:rFonts w:ascii="Arial" w:hAnsi="Arial" w:cs="Arial"/>
          <w:sz w:val="22"/>
          <w:szCs w:val="22"/>
        </w:rPr>
        <w:br w:type="page"/>
      </w:r>
    </w:p>
    <w:p w14:paraId="3EA111FD" w14:textId="77777777" w:rsidR="000C251A" w:rsidRDefault="000C251A">
      <w:pPr>
        <w:jc w:val="both"/>
        <w:rPr>
          <w:rFonts w:ascii="Arial" w:hAnsi="Arial" w:cs="Arial"/>
          <w:sz w:val="22"/>
          <w:szCs w:val="22"/>
        </w:rPr>
      </w:pPr>
    </w:p>
    <w:p w14:paraId="0E36FA25" w14:textId="26562D05" w:rsidR="000C251A" w:rsidRDefault="000C251A">
      <w:pPr>
        <w:jc w:val="both"/>
        <w:rPr>
          <w:rFonts w:ascii="Arial" w:hAnsi="Arial" w:cs="Arial"/>
          <w:sz w:val="22"/>
          <w:szCs w:val="22"/>
        </w:rPr>
      </w:pPr>
    </w:p>
    <w:p w14:paraId="5309ED7C" w14:textId="2D280776" w:rsidR="000C251A" w:rsidRDefault="00000000">
      <w:pPr>
        <w:jc w:val="both"/>
        <w:rPr>
          <w:rFonts w:ascii="Arial" w:hAnsi="Arial" w:cs="Arial"/>
          <w:sz w:val="22"/>
          <w:szCs w:val="22"/>
        </w:rPr>
      </w:pPr>
      <w:r>
        <w:rPr>
          <w:rFonts w:ascii="Arial" w:hAnsi="Arial" w:cs="Arial"/>
          <w:sz w:val="22"/>
          <w:szCs w:val="22"/>
        </w:rPr>
        <w:t>ERANSKINA, LURRALDE PLANGINTZAREN ETA HIRI AGENDAREN ZUZENDARIAK EMANDAKO EBAZPENARENA. EBAZPEN HORREN BIDEZ, KONTSULTA PUBLIKOA EGITEN DA DEBAGOIENEKO EREMU FUNTZIONALAREN LURRALDE PLAN PARTZIALAREN BERRIKUSPENA EGIN AURRETIK</w:t>
      </w:r>
    </w:p>
    <w:p w14:paraId="7B279052" w14:textId="37D89AE4" w:rsidR="000C251A" w:rsidRDefault="000C251A">
      <w:pPr>
        <w:jc w:val="both"/>
        <w:rPr>
          <w:rFonts w:ascii="Arial" w:hAnsi="Arial" w:cs="Arial"/>
          <w:sz w:val="22"/>
          <w:szCs w:val="22"/>
        </w:rPr>
      </w:pPr>
    </w:p>
    <w:p w14:paraId="0BBAF579" w14:textId="77777777" w:rsidR="000C251A" w:rsidRDefault="000C251A">
      <w:pPr>
        <w:jc w:val="both"/>
        <w:rPr>
          <w:rFonts w:ascii="Arial" w:hAnsi="Arial" w:cs="Arial"/>
          <w:sz w:val="22"/>
          <w:szCs w:val="22"/>
        </w:rPr>
      </w:pPr>
    </w:p>
    <w:p w14:paraId="6E271EC7" w14:textId="77777777" w:rsidR="000C251A" w:rsidRDefault="00000000">
      <w:pPr>
        <w:jc w:val="both"/>
        <w:rPr>
          <w:rFonts w:ascii="Arial" w:hAnsi="Arial" w:cs="Arial"/>
          <w:sz w:val="22"/>
          <w:szCs w:val="22"/>
        </w:rPr>
      </w:pPr>
      <w:r>
        <w:rPr>
          <w:rFonts w:ascii="Arial" w:hAnsi="Arial" w:cs="Arial"/>
          <w:sz w:val="22"/>
          <w:szCs w:val="22"/>
        </w:rPr>
        <w:t>1.- Ekimenaren bidez konpondu nahi diren arazoak:</w:t>
      </w:r>
    </w:p>
    <w:p w14:paraId="6DD4A11D" w14:textId="451A5335" w:rsidR="000C251A" w:rsidRDefault="000C251A">
      <w:pPr>
        <w:jc w:val="both"/>
        <w:rPr>
          <w:rFonts w:ascii="Arial" w:hAnsi="Arial" w:cs="Arial"/>
          <w:sz w:val="22"/>
          <w:szCs w:val="22"/>
        </w:rPr>
      </w:pPr>
    </w:p>
    <w:p w14:paraId="18277D89" w14:textId="6CC07894" w:rsidR="000C251A" w:rsidRDefault="00000000">
      <w:pPr>
        <w:pStyle w:val="paragraph"/>
        <w:spacing w:before="0" w:beforeAutospacing="0" w:after="0" w:afterAutospacing="0"/>
        <w:jc w:val="both"/>
        <w:textAlignment w:val="baseline"/>
        <w:rPr>
          <w:rStyle w:val="eop"/>
          <w:rFonts w:cs="Arial"/>
          <w:sz w:val="22"/>
          <w:szCs w:val="22"/>
        </w:rPr>
      </w:pPr>
      <w:r>
        <w:rPr>
          <w:rStyle w:val="normaltextrun"/>
          <w:rFonts w:ascii="Arial" w:hAnsi="Arial" w:cs="Arial"/>
          <w:sz w:val="22"/>
          <w:szCs w:val="22"/>
        </w:rPr>
        <w:t>Ekimen hau abian jarrita, beharrezkoa da indarrean dagoen Debagoieneko Lurralde Plan Partziala berrikustea eta egokitzea, zeina apirilaren 12ko 87/2005 Dekretuaren bidez onartu baitzen, uztailaren 30eko 128/2019 Dekretuaren bidez behin betiko onartutako Lurralde Antolamenduaren Gidalerroetara. Dekretu hori 2019ko irailaren 25ean jarri zen indarrean.</w:t>
      </w:r>
    </w:p>
    <w:p w14:paraId="3E07A0CD" w14:textId="77777777" w:rsidR="000C251A" w:rsidRDefault="00000000">
      <w:pPr>
        <w:pStyle w:val="paragraph"/>
        <w:spacing w:before="0" w:beforeAutospacing="0" w:after="0" w:afterAutospacing="0"/>
        <w:jc w:val="both"/>
        <w:textAlignment w:val="baseline"/>
        <w:rPr>
          <w:rFonts w:ascii="Segoe UI" w:hAnsi="Segoe UI" w:cs="Segoe UI"/>
          <w:sz w:val="18"/>
          <w:szCs w:val="18"/>
        </w:rPr>
      </w:pPr>
      <w:r>
        <w:rPr>
          <w:rStyle w:val="eop"/>
          <w:rFonts w:cs="Arial"/>
          <w:sz w:val="22"/>
          <w:szCs w:val="22"/>
        </w:rPr>
        <w:t> </w:t>
      </w:r>
    </w:p>
    <w:p w14:paraId="45B09C82" w14:textId="77777777" w:rsidR="000C251A" w:rsidRDefault="000000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Kontuan hartu behar da 128/2019 Dekretuaren lehen xedapen iragankorrak ezartzen duela dekretua indarrean jartzen denean indarrean dauden lurralde-plan partzialak eta lurralde-plan sektorialak dekretuan xedatutakora egokituko direla dekretua indarrean jarri eta zortzi urteko epean. LPParen berrikuspen honek aipatutako xedapen iragankorra betetzen du, Lurralde Antolamenduaren Gidalerroetara egokitzen baita.</w:t>
      </w:r>
    </w:p>
    <w:p w14:paraId="052A4FA0" w14:textId="77777777" w:rsidR="000C251A" w:rsidRDefault="000C251A">
      <w:pPr>
        <w:jc w:val="both"/>
        <w:rPr>
          <w:rFonts w:ascii="Arial" w:hAnsi="Arial" w:cs="Arial"/>
          <w:sz w:val="22"/>
          <w:szCs w:val="22"/>
        </w:rPr>
      </w:pPr>
    </w:p>
    <w:p w14:paraId="16915074" w14:textId="77777777" w:rsidR="000C251A" w:rsidRDefault="00000000">
      <w:pPr>
        <w:jc w:val="both"/>
        <w:rPr>
          <w:rFonts w:ascii="Arial" w:hAnsi="Arial" w:cs="Arial"/>
          <w:sz w:val="22"/>
          <w:szCs w:val="22"/>
        </w:rPr>
      </w:pPr>
      <w:r>
        <w:rPr>
          <w:rFonts w:ascii="Arial" w:hAnsi="Arial" w:cs="Arial"/>
          <w:sz w:val="22"/>
          <w:szCs w:val="22"/>
        </w:rPr>
        <w:t>2. Proiektatutako erregulazioaren beharra eta horri buruz indarrean dagoen araudia.</w:t>
      </w:r>
    </w:p>
    <w:p w14:paraId="5FC83114" w14:textId="35A0B41A" w:rsidR="000C251A" w:rsidRDefault="000C251A">
      <w:pPr>
        <w:jc w:val="both"/>
        <w:rPr>
          <w:rFonts w:ascii="Arial" w:hAnsi="Arial" w:cs="Arial"/>
          <w:sz w:val="22"/>
          <w:szCs w:val="22"/>
        </w:rPr>
      </w:pPr>
    </w:p>
    <w:p w14:paraId="712A2262" w14:textId="55DC2426" w:rsidR="000C251A" w:rsidRDefault="00000000">
      <w:pPr>
        <w:jc w:val="both"/>
        <w:rPr>
          <w:rFonts w:ascii="Arial" w:hAnsi="Arial" w:cs="Arial"/>
          <w:sz w:val="22"/>
          <w:szCs w:val="22"/>
        </w:rPr>
      </w:pPr>
      <w:r>
        <w:rPr>
          <w:rStyle w:val="normaltextrun"/>
          <w:rFonts w:ascii="Arial" w:hAnsi="Arial" w:cs="Arial"/>
          <w:color w:val="000000"/>
          <w:sz w:val="22"/>
          <w:szCs w:val="22"/>
          <w:shd w:val="clear" w:color="auto" w:fill="FFFFFF"/>
        </w:rPr>
        <w:t>Lurralde Plan Partzialaren Berrikuspenak eta, ondorioz, Lurralde Antolamenduaren Gidalerroetara (LAG) egokitzeak berekin dakar Debagoieneko eremu funtzionalaren lurralde-plangintzan gai berritzaileak eta garrantzitsuak sartzea, hala nola azpiegitura berdea, hiri-hazkundearen perimetroa, bizitegi-kuantifikazio berrikusia, paisaia, baliabideen kudeaketa jasangarria edo zeharkako gaiak txertatzea, hala nola euskara, genero-ikuspegia, lurralde-erlazioa, klima-aldaketa egokitzea eta arintzea, osasuna edo lurralde-plangintzarako irisgarritasun unibertsala.</w:t>
      </w:r>
    </w:p>
    <w:p w14:paraId="41773BA6" w14:textId="77777777" w:rsidR="000C251A" w:rsidRDefault="000C251A">
      <w:pPr>
        <w:jc w:val="both"/>
        <w:rPr>
          <w:rFonts w:ascii="Arial" w:hAnsi="Arial" w:cs="Arial"/>
          <w:sz w:val="22"/>
          <w:szCs w:val="22"/>
        </w:rPr>
      </w:pPr>
    </w:p>
    <w:p w14:paraId="2C4121A7" w14:textId="12223C64" w:rsidR="000C251A" w:rsidRDefault="00000000">
      <w:pPr>
        <w:jc w:val="both"/>
        <w:textAlignment w:val="baseline"/>
      </w:pPr>
      <w:r>
        <w:rPr>
          <w:rFonts w:ascii="Arial" w:eastAsia="Arial" w:hAnsi="Arial" w:cs="Arial"/>
          <w:sz w:val="22"/>
          <w:szCs w:val="22"/>
        </w:rPr>
        <w:t>3.- Berrikuspenaren helburuak:</w:t>
      </w:r>
    </w:p>
    <w:p w14:paraId="489A63F8" w14:textId="1E72FB13" w:rsidR="000C251A" w:rsidRDefault="00000000">
      <w:pPr>
        <w:jc w:val="both"/>
        <w:textAlignment w:val="baseline"/>
      </w:pPr>
      <w:r>
        <w:rPr>
          <w:rFonts w:ascii="Arial" w:eastAsia="Arial" w:hAnsi="Arial" w:cs="Arial"/>
          <w:sz w:val="22"/>
          <w:szCs w:val="22"/>
        </w:rPr>
        <w:t xml:space="preserve"> </w:t>
      </w:r>
    </w:p>
    <w:p w14:paraId="0C2DE2B8" w14:textId="59A2178E" w:rsidR="000C251A" w:rsidRDefault="00000000">
      <w:pPr>
        <w:jc w:val="both"/>
        <w:textAlignment w:val="baseline"/>
        <w:rPr>
          <w:rFonts w:ascii="Segoe UI" w:hAnsi="Segoe UI" w:cs="Segoe UI"/>
          <w:sz w:val="18"/>
          <w:szCs w:val="18"/>
        </w:rPr>
      </w:pPr>
      <w:r>
        <w:rPr>
          <w:rFonts w:ascii="Arial" w:eastAsia="Arial" w:hAnsi="Arial" w:cs="Arial"/>
          <w:sz w:val="22"/>
          <w:szCs w:val="22"/>
        </w:rPr>
        <w:t>Berrikuspenak, 2019an onartutako LAGetara egokitzean, bere egiten ditu LAGen helburuak, eta Debagoieneko eremu funtzionalerako garatzen ditu, hau da:</w:t>
      </w:r>
    </w:p>
    <w:p w14:paraId="575F72E7" w14:textId="77777777" w:rsidR="000C251A" w:rsidRDefault="00000000">
      <w:pPr>
        <w:pStyle w:val="paragraph"/>
        <w:spacing w:before="0" w:beforeAutospacing="0" w:after="0" w:afterAutospacing="0"/>
        <w:jc w:val="both"/>
        <w:textAlignment w:val="baseline"/>
        <w:rPr>
          <w:rFonts w:ascii="Segoe UI" w:hAnsi="Segoe UI" w:cs="Segoe UI"/>
          <w:sz w:val="18"/>
          <w:szCs w:val="18"/>
        </w:rPr>
      </w:pPr>
      <w:r>
        <w:rPr>
          <w:rStyle w:val="eop"/>
          <w:rFonts w:cs="Arial"/>
          <w:sz w:val="22"/>
          <w:szCs w:val="22"/>
        </w:rPr>
        <w:t> </w:t>
      </w:r>
    </w:p>
    <w:p w14:paraId="03C7DB64" w14:textId="0130753B"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Azpiegitura berdea eta ekosistemen zerbitzuen balioa gehitzea ingurune fisikoaren antolamenduan.</w:t>
      </w:r>
    </w:p>
    <w:p w14:paraId="25384C25" w14:textId="7D2ECB69"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Lurralde-antolamenduan landa-habitata espezifikoki ikusaraztea.</w:t>
      </w:r>
    </w:p>
    <w:p w14:paraId="7BCDDF7C" w14:textId="073E6AB7"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Hiri-sisteman eraldaketa-ardatzen figura sartzea.</w:t>
      </w:r>
    </w:p>
    <w:p w14:paraId="24039328" w14:textId="0090B3CB"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Dagoeneko artifizializatuta dagoen lurzoruaren erabilera optimizatzea, hiri-berroneratzea eta erabileren mistotasuna sustatuz, eta hazkunde mugagabea saihestea, hiri-hazkundearen perimetroa ezarriz.</w:t>
      </w:r>
    </w:p>
    <w:p w14:paraId="383129CB" w14:textId="4A4E26E5"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Jarduera ekonomiko berrietarako lurzoru-premietarako erantzun arin eta eraginkorra sustatzea, batez ere lehendik dagoen lurzorua berroneratzearen, berritzearen eta birdentsifikatzearen alde eginez.</w:t>
      </w:r>
    </w:p>
    <w:p w14:paraId="511D166E" w14:textId="33370938"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Paisaiaren kudeaketa lurralde-antolamenduko tresnen bidez sartzea.</w:t>
      </w:r>
    </w:p>
    <w:p w14:paraId="63F250F3" w14:textId="6169691B"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Baliabideen kudeaketa jasangarriaren kontzeptua txertatzea: ura, subiranotasun energetikoa, ekonomia zirkularra eta autosufizientzia konektatua (lehengaien baliabideak).</w:t>
      </w:r>
    </w:p>
    <w:p w14:paraId="6218760F" w14:textId="23F220C1"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Mugikortasun eta logistika jasangarria sustatzea, arreta berezia eskainiz oinezkoen eta bizikleten mugikortasunari, garraio publiko multimodalari eta garraiobideen konbinazioa optimizatzeari, abiadura handiko trenaren zerbitzuak izango diren denbora-egoera batean.</w:t>
      </w:r>
    </w:p>
    <w:p w14:paraId="5F75F9FC" w14:textId="02D3BB71"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Lurralde-antolamenduan zeharkako izaera duten gai berriak sartzea, hala nola irisgarritasun unibertsala, genero-ikuspegia, euskara, klima-aldaketa, osasuna eta lurralde-erlazioa.</w:t>
      </w:r>
    </w:p>
    <w:p w14:paraId="4C041EE6" w14:textId="03B97CF6" w:rsidR="000C251A"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Lurralde-antolamenduaren politika publikoaren kudeaketan gobernantza ona sustatzea, batez ere planen jarraipenaren eta ebaluazioaren, parte-hartzearen eta administrazio-integrazioaren bidez.</w:t>
      </w:r>
    </w:p>
    <w:p w14:paraId="55223C0A" w14:textId="77777777" w:rsidR="000C251A" w:rsidRDefault="00000000">
      <w:pPr>
        <w:pStyle w:val="paragraph"/>
        <w:spacing w:before="0" w:beforeAutospacing="0" w:after="0" w:afterAutospacing="0"/>
        <w:jc w:val="both"/>
        <w:textAlignment w:val="baseline"/>
        <w:rPr>
          <w:rFonts w:ascii="Segoe UI" w:hAnsi="Segoe UI" w:cs="Segoe UI"/>
          <w:sz w:val="18"/>
          <w:szCs w:val="18"/>
        </w:rPr>
      </w:pPr>
      <w:r>
        <w:rPr>
          <w:rStyle w:val="eop"/>
          <w:rFonts w:cs="Arial"/>
          <w:sz w:val="22"/>
          <w:szCs w:val="22"/>
        </w:rPr>
        <w:t> </w:t>
      </w:r>
    </w:p>
    <w:p w14:paraId="1D662759" w14:textId="6890C162" w:rsidR="000C251A" w:rsidRDefault="00000000">
      <w:pPr>
        <w:pStyle w:val="paragraph"/>
        <w:spacing w:before="0" w:beforeAutospacing="0" w:after="0" w:afterAutospacing="0"/>
        <w:jc w:val="both"/>
        <w:textAlignment w:val="baseline"/>
        <w:rPr>
          <w:rStyle w:val="eop"/>
          <w:rFonts w:cs="Arial"/>
          <w:sz w:val="22"/>
          <w:szCs w:val="22"/>
        </w:rPr>
      </w:pPr>
      <w:r>
        <w:rPr>
          <w:rStyle w:val="normaltextrun"/>
          <w:rFonts w:ascii="Arial" w:hAnsi="Arial" w:cs="Arial"/>
          <w:sz w:val="22"/>
          <w:szCs w:val="22"/>
        </w:rPr>
        <w:t>Zehazki, LAGen Memoriako kapitulu bakoitzak adierazten dituen helburuez eta LAGen Aplikazio Arauetako artikuluez gain, kontuan hartu behar dira Debagoieneko eremu funtzionalerako gidalerro espezifikoak, Memoria horretako 6.1.3 apartatuko IV.b puntuan (Eraldaketa-ardatzak eremu funtzionalen arabera) jasotakoak.</w:t>
      </w:r>
    </w:p>
    <w:p w14:paraId="2121A1A2" w14:textId="22395FE5" w:rsidR="000C251A" w:rsidRDefault="000C251A">
      <w:pPr>
        <w:jc w:val="both"/>
        <w:rPr>
          <w:rStyle w:val="eop"/>
          <w:rFonts w:cs="Arial"/>
          <w:sz w:val="22"/>
          <w:szCs w:val="22"/>
        </w:rPr>
      </w:pPr>
    </w:p>
    <w:p w14:paraId="22427EAC" w14:textId="77777777" w:rsidR="000C251A" w:rsidRDefault="00000000">
      <w:pPr>
        <w:jc w:val="both"/>
        <w:rPr>
          <w:rFonts w:ascii="Arial" w:hAnsi="Arial" w:cs="Arial"/>
          <w:sz w:val="22"/>
          <w:szCs w:val="22"/>
        </w:rPr>
      </w:pPr>
      <w:r>
        <w:rPr>
          <w:rFonts w:ascii="Arial" w:hAnsi="Arial" w:cs="Arial"/>
          <w:sz w:val="22"/>
          <w:szCs w:val="22"/>
        </w:rPr>
        <w:t>4.- Izan litezkeen bestelako aukera erregulatzaileak eta ez-erregulatzaileak.</w:t>
      </w:r>
    </w:p>
    <w:p w14:paraId="61212FA7" w14:textId="77777777" w:rsidR="000C251A" w:rsidRDefault="000C251A">
      <w:pPr>
        <w:jc w:val="both"/>
        <w:rPr>
          <w:rFonts w:ascii="Arial" w:hAnsi="Arial" w:cs="Arial"/>
          <w:sz w:val="22"/>
          <w:szCs w:val="22"/>
        </w:rPr>
      </w:pPr>
    </w:p>
    <w:p w14:paraId="3C22768E" w14:textId="7875FABD" w:rsidR="000C251A" w:rsidRDefault="00000000">
      <w:pPr>
        <w:jc w:val="both"/>
        <w:rPr>
          <w:rFonts w:ascii="Arial" w:hAnsi="Arial" w:cs="Arial"/>
          <w:sz w:val="22"/>
          <w:szCs w:val="22"/>
        </w:rPr>
      </w:pPr>
      <w:r>
        <w:rPr>
          <w:rFonts w:ascii="Arial" w:hAnsi="Arial" w:cs="Arial"/>
          <w:sz w:val="22"/>
          <w:szCs w:val="22"/>
        </w:rPr>
        <w:t>Ez jarduteko eta Lurralde Plan Partziala berrikusi eta ez egokitzeko egoerak, 2019an onartutako Lurralde Antolamenduaren Gidalerroen lehen xedapen iragankorra betetzen ez jarraitzeaz gain, lurraldea egungo erronketara egokitu ahal izateko funtsezko gaiak ez sartzea dakar, hala nola klima-aldaketa arintzea eta horretara egokitzea, ekosistemen zerbitzuak galtzea, mendekotasun energetikoa, lurzoruaren kontsumoa edo biztanleriaren zahartzea.</w:t>
      </w:r>
    </w:p>
    <w:p w14:paraId="112B026D" w14:textId="77777777" w:rsidR="000C251A" w:rsidRDefault="000C251A">
      <w:pPr>
        <w:jc w:val="both"/>
        <w:rPr>
          <w:rFonts w:ascii="Arial" w:hAnsi="Arial" w:cs="Arial"/>
          <w:sz w:val="22"/>
          <w:szCs w:val="22"/>
        </w:rPr>
      </w:pPr>
    </w:p>
    <w:p w14:paraId="3A08C519" w14:textId="3A27FFCC" w:rsidR="000C251A" w:rsidRDefault="000C251A">
      <w:pPr>
        <w:jc w:val="center"/>
        <w:rPr>
          <w:rFonts w:ascii="Arial" w:hAnsi="Arial" w:cs="Arial"/>
          <w:sz w:val="22"/>
          <w:szCs w:val="22"/>
        </w:rPr>
      </w:pPr>
    </w:p>
    <w:p w14:paraId="2B8D140C" w14:textId="7A2AAC22" w:rsidR="000C251A" w:rsidRDefault="000C251A">
      <w:pPr>
        <w:jc w:val="center"/>
        <w:rPr>
          <w:rFonts w:ascii="Arial" w:hAnsi="Arial" w:cs="Arial"/>
          <w:sz w:val="22"/>
          <w:szCs w:val="22"/>
        </w:rPr>
      </w:pPr>
    </w:p>
    <w:p w14:paraId="521A7D2D" w14:textId="77777777" w:rsidR="000C251A" w:rsidRDefault="000C251A">
      <w:pPr>
        <w:jc w:val="center"/>
        <w:rPr>
          <w:rFonts w:ascii="Arial" w:hAnsi="Arial" w:cs="Arial"/>
          <w:sz w:val="22"/>
          <w:szCs w:val="22"/>
        </w:rPr>
      </w:pPr>
    </w:p>
    <w:p w14:paraId="50435005" w14:textId="77777777" w:rsidR="000C251A" w:rsidRDefault="000C251A">
      <w:pPr>
        <w:jc w:val="both"/>
        <w:rPr>
          <w:rFonts w:ascii="Arial" w:hAnsi="Arial" w:cs="Arial"/>
          <w:sz w:val="22"/>
          <w:szCs w:val="22"/>
        </w:rPr>
      </w:pPr>
    </w:p>
    <w:sectPr w:rsidR="000C251A">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94F0" w14:textId="77777777" w:rsidR="00EB5C98" w:rsidRDefault="00EB5C98">
      <w:r>
        <w:separator/>
      </w:r>
    </w:p>
  </w:endnote>
  <w:endnote w:type="continuationSeparator" w:id="0">
    <w:p w14:paraId="685AAC85" w14:textId="77777777" w:rsidR="00EB5C98" w:rsidRDefault="00EB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C369" w14:textId="77777777" w:rsidR="000C251A" w:rsidRDefault="000C25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050F" w14:textId="77777777" w:rsidR="000C251A" w:rsidRDefault="000C25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7B83" w14:textId="77777777" w:rsidR="000C251A" w:rsidRDefault="00000000">
    <w:pPr>
      <w:pStyle w:val="Piedepgina"/>
      <w:jc w:val="center"/>
      <w:rPr>
        <w:rFonts w:ascii="Arial" w:hAnsi="Arial"/>
        <w:sz w:val="13"/>
      </w:rPr>
    </w:pPr>
    <w:r>
      <w:rPr>
        <w:rFonts w:ascii="Arial" w:hAnsi="Arial"/>
        <w:sz w:val="13"/>
      </w:rPr>
      <w:t>Donostia kalea 1 – Tel.: 945 01 98 24 – Faxa: 945 01 98 56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61559" w14:textId="77777777" w:rsidR="00EB5C98" w:rsidRDefault="00EB5C98">
      <w:r>
        <w:separator/>
      </w:r>
    </w:p>
  </w:footnote>
  <w:footnote w:type="continuationSeparator" w:id="0">
    <w:p w14:paraId="2AD65048" w14:textId="77777777" w:rsidR="00EB5C98" w:rsidRDefault="00EB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3B94" w14:textId="77777777" w:rsidR="000C251A" w:rsidRDefault="000C25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AAC3" w14:textId="77777777" w:rsidR="000C251A" w:rsidRDefault="00000000">
    <w:pPr>
      <w:pStyle w:val="Encabezado"/>
      <w:jc w:val="center"/>
    </w:pPr>
    <w:r>
      <w:rPr>
        <w:noProof/>
      </w:rPr>
      <w:drawing>
        <wp:inline distT="0" distB="0" distL="0" distR="0" wp14:anchorId="71274FE7" wp14:editId="0C31406A">
          <wp:extent cx="2520000" cy="316800"/>
          <wp:effectExtent l="0" t="0" r="0" b="7620"/>
          <wp:docPr id="4" name="0 Iru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emf"/>
                  <pic:cNvPicPr/>
                </pic:nvPicPr>
                <pic:blipFill>
                  <a:blip r:embed="rId1">
                    <a:extLst>
                      <a:ext uri="{28A0092B-C50C-407E-A947-70E740481C1C}">
                        <a14:useLocalDpi xmlns:a14="http://schemas.microsoft.com/office/drawing/2010/main" val="0"/>
                      </a:ext>
                    </a:extLst>
                  </a:blip>
                  <a:stretch>
                    <a:fillRect/>
                  </a:stretch>
                </pic:blipFill>
                <pic:spPr>
                  <a:xfrm>
                    <a:off x="0" y="0"/>
                    <a:ext cx="2520000" cy="31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AF96" w14:textId="77777777" w:rsidR="000C251A" w:rsidRDefault="00000000">
    <w:pPr>
      <w:pStyle w:val="Encabezado"/>
      <w:tabs>
        <w:tab w:val="clear" w:pos="4819"/>
        <w:tab w:val="clear" w:pos="9071"/>
        <w:tab w:val="center" w:pos="4253"/>
      </w:tabs>
      <w:jc w:val="center"/>
    </w:pPr>
    <w:r>
      <w:rPr>
        <w:noProof/>
        <w:sz w:val="16"/>
      </w:rPr>
      <w:drawing>
        <wp:anchor distT="0" distB="0" distL="114300" distR="114300" simplePos="0" relativeHeight="251661312" behindDoc="0" locked="0" layoutInCell="1" allowOverlap="1" wp14:anchorId="5880E0C6" wp14:editId="633BE398">
          <wp:simplePos x="0" y="0"/>
          <wp:positionH relativeFrom="page">
            <wp:posOffset>1990725</wp:posOffset>
          </wp:positionH>
          <wp:positionV relativeFrom="page">
            <wp:posOffset>833438</wp:posOffset>
          </wp:positionV>
          <wp:extent cx="1600200" cy="3619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4C1D5" w14:textId="77777777" w:rsidR="000C251A" w:rsidRDefault="00000000">
                      <w:pPr>
                        <w:pStyle w:val="Ttulo2"/>
                        <w:rPr>
                          <w:rFonts w:ascii="Century Gothic" w:hAnsi="Century Gothic"/>
                          <w:sz w:val="12"/>
                          <w:szCs w:val="12"/>
                        </w:rPr>
                      </w:pPr>
                      <w:r>
                        <w:rPr>
                          <w:rFonts w:ascii="Century Gothic" w:hAnsi="Century Gothic"/>
                          <w:sz w:val="12"/>
                          <w:szCs w:val="12"/>
                        </w:rPr>
                        <w:t>LURRALDE PLANGINTZA, ETXEBIZITZA ETA GARRAIO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59264" behindDoc="0" locked="0" layoutInCell="1" allowOverlap="1" wp14:anchorId="0B972BFE" wp14:editId="417F66B8">
          <wp:simplePos x="0" y="0"/>
          <wp:positionH relativeFrom="page">
            <wp:posOffset>4024313</wp:posOffset>
          </wp:positionH>
          <wp:positionV relativeFrom="page">
            <wp:posOffset>833439</wp:posOffset>
          </wp:positionV>
          <wp:extent cx="1594485" cy="3619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C400" w14:textId="77777777" w:rsidR="000C251A" w:rsidRDefault="00000000">
                      <w:pPr>
                        <w:pStyle w:val="Ttulo2"/>
                        <w:rPr>
                          <w:rFonts w:ascii="Century Gothic" w:hAnsi="Century Gothic" w:cstheme="minorHAnsi"/>
                          <w:sz w:val="12"/>
                          <w:szCs w:val="12"/>
                        </w:rPr>
                      </w:pPr>
                      <w:r>
                        <w:rPr>
                          <w:rFonts w:ascii="Century Gothic" w:hAnsi="Century Gothic" w:cstheme="minorHAnsi"/>
                          <w:sz w:val="12"/>
                          <w:szCs w:val="12"/>
                        </w:rPr>
                        <w:t>LURRALDE PLANGINTZA, ETXEBIZITZA ETA GARRAIO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rFonts w:ascii="Arial" w:hAnsi="Arial"/>
        <w:sz w:val="16"/>
        <w:szCs w:val="24"/>
      </w:rPr>
      <w:object w:dxaOrig="18028" w:dyaOrig="2235" w14:anchorId="4F948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45pt;height:36.45pt" fillcolor="window">
          <v:imagedata r:id="rId1" o:title=""/>
        </v:shape>
        <o:OLEObject Type="Embed" ProgID="MSPhotoEd.3" ShapeID="_x0000_i1025" DrawAspect="Content" ObjectID="_174479748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3BDB"/>
    <w:multiLevelType w:val="hybridMultilevel"/>
    <w:tmpl w:val="DD2693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922E1F"/>
    <w:multiLevelType w:val="hybridMultilevel"/>
    <w:tmpl w:val="12885B6E"/>
    <w:lvl w:ilvl="0" w:tplc="CBB2F114">
      <w:start w:val="1"/>
      <w:numFmt w:val="decimal"/>
      <w:lvlText w:val="%1."/>
      <w:lvlJc w:val="left"/>
      <w:pPr>
        <w:ind w:left="1070" w:hanging="71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822072">
    <w:abstractNumId w:val="0"/>
  </w:num>
  <w:num w:numId="2" w16cid:durableId="99742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C2"/>
    <w:rsid w:val="000426F2"/>
    <w:rsid w:val="00045AED"/>
    <w:rsid w:val="00063186"/>
    <w:rsid w:val="00085010"/>
    <w:rsid w:val="00094EF5"/>
    <w:rsid w:val="000C251A"/>
    <w:rsid w:val="000C7B57"/>
    <w:rsid w:val="00102ABA"/>
    <w:rsid w:val="00104873"/>
    <w:rsid w:val="001104A9"/>
    <w:rsid w:val="00116BB0"/>
    <w:rsid w:val="001319CB"/>
    <w:rsid w:val="00191945"/>
    <w:rsid w:val="001C22CA"/>
    <w:rsid w:val="001E6C85"/>
    <w:rsid w:val="001F794C"/>
    <w:rsid w:val="00205901"/>
    <w:rsid w:val="00210166"/>
    <w:rsid w:val="0028653E"/>
    <w:rsid w:val="002932E3"/>
    <w:rsid w:val="00294EE0"/>
    <w:rsid w:val="002B35D1"/>
    <w:rsid w:val="00304BC1"/>
    <w:rsid w:val="003522F8"/>
    <w:rsid w:val="00384418"/>
    <w:rsid w:val="003A08A5"/>
    <w:rsid w:val="003C2063"/>
    <w:rsid w:val="003C3AC4"/>
    <w:rsid w:val="003D6AE1"/>
    <w:rsid w:val="003E7FE5"/>
    <w:rsid w:val="00415861"/>
    <w:rsid w:val="00424137"/>
    <w:rsid w:val="00434AFC"/>
    <w:rsid w:val="004779D8"/>
    <w:rsid w:val="004C53C2"/>
    <w:rsid w:val="004D0FFE"/>
    <w:rsid w:val="0051482E"/>
    <w:rsid w:val="0054634C"/>
    <w:rsid w:val="0056575A"/>
    <w:rsid w:val="00575F4D"/>
    <w:rsid w:val="0058380E"/>
    <w:rsid w:val="00586AE8"/>
    <w:rsid w:val="00594C36"/>
    <w:rsid w:val="00597B26"/>
    <w:rsid w:val="005F64A6"/>
    <w:rsid w:val="00642E63"/>
    <w:rsid w:val="00644D7B"/>
    <w:rsid w:val="00667D1F"/>
    <w:rsid w:val="00675C1E"/>
    <w:rsid w:val="00676866"/>
    <w:rsid w:val="006F39ED"/>
    <w:rsid w:val="00727F5F"/>
    <w:rsid w:val="0077684E"/>
    <w:rsid w:val="00795CE5"/>
    <w:rsid w:val="007A52BA"/>
    <w:rsid w:val="007C2C68"/>
    <w:rsid w:val="007C2E3F"/>
    <w:rsid w:val="007D5021"/>
    <w:rsid w:val="007E2B30"/>
    <w:rsid w:val="007F7A38"/>
    <w:rsid w:val="00886A18"/>
    <w:rsid w:val="008C4AC4"/>
    <w:rsid w:val="008D29A4"/>
    <w:rsid w:val="008E4B64"/>
    <w:rsid w:val="00915860"/>
    <w:rsid w:val="009906F6"/>
    <w:rsid w:val="00996F86"/>
    <w:rsid w:val="009A3DE4"/>
    <w:rsid w:val="009D2C39"/>
    <w:rsid w:val="00A245E5"/>
    <w:rsid w:val="00A63FC7"/>
    <w:rsid w:val="00A87D93"/>
    <w:rsid w:val="00A90D1C"/>
    <w:rsid w:val="00A933D6"/>
    <w:rsid w:val="00AA6D4C"/>
    <w:rsid w:val="00AC51AC"/>
    <w:rsid w:val="00AE22AC"/>
    <w:rsid w:val="00AE5848"/>
    <w:rsid w:val="00B33757"/>
    <w:rsid w:val="00B7107F"/>
    <w:rsid w:val="00B8722E"/>
    <w:rsid w:val="00BC6E95"/>
    <w:rsid w:val="00C0185A"/>
    <w:rsid w:val="00C15EBC"/>
    <w:rsid w:val="00C16242"/>
    <w:rsid w:val="00C20F4E"/>
    <w:rsid w:val="00C27421"/>
    <w:rsid w:val="00C46B9C"/>
    <w:rsid w:val="00C5743C"/>
    <w:rsid w:val="00C66388"/>
    <w:rsid w:val="00C82E97"/>
    <w:rsid w:val="00C92780"/>
    <w:rsid w:val="00CB78EF"/>
    <w:rsid w:val="00D14A05"/>
    <w:rsid w:val="00D8283E"/>
    <w:rsid w:val="00DB047B"/>
    <w:rsid w:val="00DD7CB8"/>
    <w:rsid w:val="00DE4F84"/>
    <w:rsid w:val="00DF0C4E"/>
    <w:rsid w:val="00E12993"/>
    <w:rsid w:val="00E24BAB"/>
    <w:rsid w:val="00E47EB5"/>
    <w:rsid w:val="00E7672D"/>
    <w:rsid w:val="00EA3BF1"/>
    <w:rsid w:val="00EB5C98"/>
    <w:rsid w:val="00EC604F"/>
    <w:rsid w:val="00EE6AE1"/>
    <w:rsid w:val="00F21726"/>
    <w:rsid w:val="00F2575B"/>
    <w:rsid w:val="00F346AB"/>
    <w:rsid w:val="00F41613"/>
    <w:rsid w:val="00FE144D"/>
    <w:rsid w:val="00FE520B"/>
    <w:rsid w:val="00FE6F1B"/>
    <w:rsid w:val="06B7F87E"/>
    <w:rsid w:val="081D9DA2"/>
    <w:rsid w:val="0B78ABEB"/>
    <w:rsid w:val="0C652CF2"/>
    <w:rsid w:val="0F1D9240"/>
    <w:rsid w:val="0FF0A4FF"/>
    <w:rsid w:val="1050F69C"/>
    <w:rsid w:val="17028828"/>
    <w:rsid w:val="1D28D19A"/>
    <w:rsid w:val="28CB918C"/>
    <w:rsid w:val="34215FD2"/>
    <w:rsid w:val="3C69AA87"/>
    <w:rsid w:val="3D1CB747"/>
    <w:rsid w:val="3EB887A8"/>
    <w:rsid w:val="5133D603"/>
    <w:rsid w:val="55F5D9C6"/>
    <w:rsid w:val="58FE39CF"/>
    <w:rsid w:val="59DCC5DC"/>
    <w:rsid w:val="5F9F5109"/>
    <w:rsid w:val="602806D4"/>
    <w:rsid w:val="61C2E8C7"/>
    <w:rsid w:val="622B9FC0"/>
    <w:rsid w:val="660A6B16"/>
    <w:rsid w:val="661582F9"/>
    <w:rsid w:val="6AD93D40"/>
    <w:rsid w:val="6C827CFA"/>
    <w:rsid w:val="72D797DE"/>
    <w:rsid w:val="7497C3E8"/>
    <w:rsid w:val="761036E3"/>
    <w:rsid w:val="796B350B"/>
    <w:rsid w:val="7B73C6E8"/>
    <w:rsid w:val="7DF3F2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BDC5A"/>
  <w15:docId w15:val="{65056FC0-AB50-4ED8-BF51-A3D0A7A4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2CA"/>
    <w:rPr>
      <w:lang w:eastAsia="es-ES_tradnl"/>
    </w:rPr>
  </w:style>
  <w:style w:type="paragraph" w:styleId="Ttulo2">
    <w:name w:val="heading 2"/>
    <w:basedOn w:val="Normal"/>
    <w:next w:val="Normal"/>
    <w:link w:val="Ttulo2Car"/>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743C"/>
    <w:pPr>
      <w:tabs>
        <w:tab w:val="center" w:pos="4819"/>
        <w:tab w:val="right" w:pos="9071"/>
      </w:tabs>
    </w:pPr>
  </w:style>
  <w:style w:type="paragraph" w:styleId="Encabezado">
    <w:name w:val="header"/>
    <w:basedOn w:val="Normal"/>
    <w:link w:val="EncabezadoCar"/>
    <w:rsid w:val="00C5743C"/>
    <w:pPr>
      <w:tabs>
        <w:tab w:val="center" w:pos="4819"/>
        <w:tab w:val="right" w:pos="9071"/>
      </w:tabs>
    </w:pPr>
  </w:style>
  <w:style w:type="paragraph" w:styleId="Textodeglobo">
    <w:name w:val="Balloon Text"/>
    <w:basedOn w:val="Normal"/>
    <w:link w:val="TextodegloboCar"/>
    <w:rsid w:val="00191945"/>
    <w:rPr>
      <w:rFonts w:ascii="Tahoma" w:hAnsi="Tahoma" w:cs="Tahoma"/>
      <w:sz w:val="16"/>
      <w:szCs w:val="16"/>
    </w:rPr>
  </w:style>
  <w:style w:type="character" w:customStyle="1" w:styleId="TextodegloboCar">
    <w:name w:val="Texto de globo Car"/>
    <w:basedOn w:val="Fuentedeprrafopredeter"/>
    <w:link w:val="Textodeglobo"/>
    <w:rsid w:val="00191945"/>
    <w:rPr>
      <w:rFonts w:ascii="Tahoma" w:hAnsi="Tahoma" w:cs="Tahoma"/>
      <w:sz w:val="16"/>
      <w:szCs w:val="16"/>
    </w:rPr>
  </w:style>
  <w:style w:type="character" w:customStyle="1" w:styleId="Ttulo2Car">
    <w:name w:val="Título 2 Car"/>
    <w:basedOn w:val="Fuentedeprrafopredeter"/>
    <w:link w:val="Ttulo2"/>
    <w:rsid w:val="001C22CA"/>
    <w:rPr>
      <w:rFonts w:ascii="Arial" w:hAnsi="Arial"/>
      <w:b/>
      <w:sz w:val="14"/>
      <w:szCs w:val="24"/>
    </w:rPr>
  </w:style>
  <w:style w:type="character" w:customStyle="1" w:styleId="EncabezadoCar">
    <w:name w:val="Encabezado Car"/>
    <w:basedOn w:val="Fuentedeprrafopredeter"/>
    <w:link w:val="Encabezado"/>
    <w:rsid w:val="001C22CA"/>
    <w:rPr>
      <w:sz w:val="24"/>
      <w:szCs w:val="24"/>
    </w:rPr>
  </w:style>
  <w:style w:type="character" w:customStyle="1" w:styleId="normaltextrun">
    <w:name w:val="normaltextrun"/>
    <w:basedOn w:val="Fuentedeprrafopredeter"/>
    <w:rsid w:val="0051482E"/>
  </w:style>
  <w:style w:type="character" w:customStyle="1" w:styleId="eop">
    <w:name w:val="eop"/>
    <w:basedOn w:val="Fuentedeprrafopredeter"/>
    <w:rsid w:val="0051482E"/>
  </w:style>
  <w:style w:type="paragraph" w:customStyle="1" w:styleId="paragraph">
    <w:name w:val="paragraph"/>
    <w:basedOn w:val="Normal"/>
    <w:rsid w:val="0051482E"/>
    <w:pPr>
      <w:spacing w:before="100" w:beforeAutospacing="1" w:after="100" w:afterAutospacing="1"/>
    </w:pPr>
    <w:rPr>
      <w:sz w:val="24"/>
      <w:szCs w:val="24"/>
      <w:lang w:eastAsia="es-ES"/>
    </w:rPr>
  </w:style>
  <w:style w:type="character" w:customStyle="1" w:styleId="tabchar">
    <w:name w:val="tabchar"/>
    <w:basedOn w:val="Fuentedeprrafopredeter"/>
    <w:rsid w:val="0051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60130">
      <w:bodyDiv w:val="1"/>
      <w:marLeft w:val="0"/>
      <w:marRight w:val="0"/>
      <w:marTop w:val="0"/>
      <w:marBottom w:val="0"/>
      <w:divBdr>
        <w:top w:val="none" w:sz="0" w:space="0" w:color="auto"/>
        <w:left w:val="none" w:sz="0" w:space="0" w:color="auto"/>
        <w:bottom w:val="none" w:sz="0" w:space="0" w:color="auto"/>
        <w:right w:val="none" w:sz="0" w:space="0" w:color="auto"/>
      </w:divBdr>
      <w:divsChild>
        <w:div w:id="354578055">
          <w:marLeft w:val="0"/>
          <w:marRight w:val="0"/>
          <w:marTop w:val="0"/>
          <w:marBottom w:val="0"/>
          <w:divBdr>
            <w:top w:val="none" w:sz="0" w:space="0" w:color="auto"/>
            <w:left w:val="none" w:sz="0" w:space="0" w:color="auto"/>
            <w:bottom w:val="none" w:sz="0" w:space="0" w:color="auto"/>
            <w:right w:val="none" w:sz="0" w:space="0" w:color="auto"/>
          </w:divBdr>
        </w:div>
        <w:div w:id="1755131171">
          <w:marLeft w:val="0"/>
          <w:marRight w:val="0"/>
          <w:marTop w:val="0"/>
          <w:marBottom w:val="0"/>
          <w:divBdr>
            <w:top w:val="none" w:sz="0" w:space="0" w:color="auto"/>
            <w:left w:val="none" w:sz="0" w:space="0" w:color="auto"/>
            <w:bottom w:val="none" w:sz="0" w:space="0" w:color="auto"/>
            <w:right w:val="none" w:sz="0" w:space="0" w:color="auto"/>
          </w:divBdr>
        </w:div>
        <w:div w:id="919026239">
          <w:marLeft w:val="0"/>
          <w:marRight w:val="0"/>
          <w:marTop w:val="0"/>
          <w:marBottom w:val="0"/>
          <w:divBdr>
            <w:top w:val="none" w:sz="0" w:space="0" w:color="auto"/>
            <w:left w:val="none" w:sz="0" w:space="0" w:color="auto"/>
            <w:bottom w:val="none" w:sz="0" w:space="0" w:color="auto"/>
            <w:right w:val="none" w:sz="0" w:space="0" w:color="auto"/>
          </w:divBdr>
        </w:div>
        <w:div w:id="521865204">
          <w:marLeft w:val="0"/>
          <w:marRight w:val="0"/>
          <w:marTop w:val="0"/>
          <w:marBottom w:val="0"/>
          <w:divBdr>
            <w:top w:val="none" w:sz="0" w:space="0" w:color="auto"/>
            <w:left w:val="none" w:sz="0" w:space="0" w:color="auto"/>
            <w:bottom w:val="none" w:sz="0" w:space="0" w:color="auto"/>
            <w:right w:val="none" w:sz="0" w:space="0" w:color="auto"/>
          </w:divBdr>
        </w:div>
        <w:div w:id="956958437">
          <w:marLeft w:val="0"/>
          <w:marRight w:val="0"/>
          <w:marTop w:val="0"/>
          <w:marBottom w:val="0"/>
          <w:divBdr>
            <w:top w:val="none" w:sz="0" w:space="0" w:color="auto"/>
            <w:left w:val="none" w:sz="0" w:space="0" w:color="auto"/>
            <w:bottom w:val="none" w:sz="0" w:space="0" w:color="auto"/>
            <w:right w:val="none" w:sz="0" w:space="0" w:color="auto"/>
          </w:divBdr>
        </w:div>
        <w:div w:id="73935289">
          <w:marLeft w:val="0"/>
          <w:marRight w:val="0"/>
          <w:marTop w:val="0"/>
          <w:marBottom w:val="0"/>
          <w:divBdr>
            <w:top w:val="none" w:sz="0" w:space="0" w:color="auto"/>
            <w:left w:val="none" w:sz="0" w:space="0" w:color="auto"/>
            <w:bottom w:val="none" w:sz="0" w:space="0" w:color="auto"/>
            <w:right w:val="none" w:sz="0" w:space="0" w:color="auto"/>
          </w:divBdr>
        </w:div>
        <w:div w:id="1013146718">
          <w:marLeft w:val="0"/>
          <w:marRight w:val="0"/>
          <w:marTop w:val="0"/>
          <w:marBottom w:val="0"/>
          <w:divBdr>
            <w:top w:val="none" w:sz="0" w:space="0" w:color="auto"/>
            <w:left w:val="none" w:sz="0" w:space="0" w:color="auto"/>
            <w:bottom w:val="none" w:sz="0" w:space="0" w:color="auto"/>
            <w:right w:val="none" w:sz="0" w:space="0" w:color="auto"/>
          </w:divBdr>
        </w:div>
        <w:div w:id="373696131">
          <w:marLeft w:val="0"/>
          <w:marRight w:val="0"/>
          <w:marTop w:val="0"/>
          <w:marBottom w:val="0"/>
          <w:divBdr>
            <w:top w:val="none" w:sz="0" w:space="0" w:color="auto"/>
            <w:left w:val="none" w:sz="0" w:space="0" w:color="auto"/>
            <w:bottom w:val="none" w:sz="0" w:space="0" w:color="auto"/>
            <w:right w:val="none" w:sz="0" w:space="0" w:color="auto"/>
          </w:divBdr>
        </w:div>
        <w:div w:id="1966303870">
          <w:marLeft w:val="0"/>
          <w:marRight w:val="0"/>
          <w:marTop w:val="0"/>
          <w:marBottom w:val="0"/>
          <w:divBdr>
            <w:top w:val="none" w:sz="0" w:space="0" w:color="auto"/>
            <w:left w:val="none" w:sz="0" w:space="0" w:color="auto"/>
            <w:bottom w:val="none" w:sz="0" w:space="0" w:color="auto"/>
            <w:right w:val="none" w:sz="0" w:space="0" w:color="auto"/>
          </w:divBdr>
        </w:div>
        <w:div w:id="199324222">
          <w:marLeft w:val="0"/>
          <w:marRight w:val="0"/>
          <w:marTop w:val="0"/>
          <w:marBottom w:val="0"/>
          <w:divBdr>
            <w:top w:val="none" w:sz="0" w:space="0" w:color="auto"/>
            <w:left w:val="none" w:sz="0" w:space="0" w:color="auto"/>
            <w:bottom w:val="none" w:sz="0" w:space="0" w:color="auto"/>
            <w:right w:val="none" w:sz="0" w:space="0" w:color="auto"/>
          </w:divBdr>
        </w:div>
        <w:div w:id="1416390953">
          <w:marLeft w:val="0"/>
          <w:marRight w:val="0"/>
          <w:marTop w:val="0"/>
          <w:marBottom w:val="0"/>
          <w:divBdr>
            <w:top w:val="none" w:sz="0" w:space="0" w:color="auto"/>
            <w:left w:val="none" w:sz="0" w:space="0" w:color="auto"/>
            <w:bottom w:val="none" w:sz="0" w:space="0" w:color="auto"/>
            <w:right w:val="none" w:sz="0" w:space="0" w:color="auto"/>
          </w:divBdr>
        </w:div>
        <w:div w:id="1979144523">
          <w:marLeft w:val="0"/>
          <w:marRight w:val="0"/>
          <w:marTop w:val="0"/>
          <w:marBottom w:val="0"/>
          <w:divBdr>
            <w:top w:val="none" w:sz="0" w:space="0" w:color="auto"/>
            <w:left w:val="none" w:sz="0" w:space="0" w:color="auto"/>
            <w:bottom w:val="none" w:sz="0" w:space="0" w:color="auto"/>
            <w:right w:val="none" w:sz="0" w:space="0" w:color="auto"/>
          </w:divBdr>
        </w:div>
        <w:div w:id="752704960">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sChild>
    </w:div>
    <w:div w:id="258372639">
      <w:bodyDiv w:val="1"/>
      <w:marLeft w:val="0"/>
      <w:marRight w:val="0"/>
      <w:marTop w:val="0"/>
      <w:marBottom w:val="0"/>
      <w:divBdr>
        <w:top w:val="none" w:sz="0" w:space="0" w:color="auto"/>
        <w:left w:val="none" w:sz="0" w:space="0" w:color="auto"/>
        <w:bottom w:val="none" w:sz="0" w:space="0" w:color="auto"/>
        <w:right w:val="none" w:sz="0" w:space="0" w:color="auto"/>
      </w:divBdr>
      <w:divsChild>
        <w:div w:id="1068726998">
          <w:marLeft w:val="0"/>
          <w:marRight w:val="0"/>
          <w:marTop w:val="0"/>
          <w:marBottom w:val="0"/>
          <w:divBdr>
            <w:top w:val="none" w:sz="0" w:space="0" w:color="auto"/>
            <w:left w:val="none" w:sz="0" w:space="0" w:color="auto"/>
            <w:bottom w:val="none" w:sz="0" w:space="0" w:color="auto"/>
            <w:right w:val="none" w:sz="0" w:space="0" w:color="auto"/>
          </w:divBdr>
        </w:div>
        <w:div w:id="361590399">
          <w:marLeft w:val="0"/>
          <w:marRight w:val="0"/>
          <w:marTop w:val="0"/>
          <w:marBottom w:val="0"/>
          <w:divBdr>
            <w:top w:val="none" w:sz="0" w:space="0" w:color="auto"/>
            <w:left w:val="none" w:sz="0" w:space="0" w:color="auto"/>
            <w:bottom w:val="none" w:sz="0" w:space="0" w:color="auto"/>
            <w:right w:val="none" w:sz="0" w:space="0" w:color="auto"/>
          </w:divBdr>
        </w:div>
        <w:div w:id="78566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ROD\Documents\Plantillas%20personalizadas%20de%20Office\2020%2009%20Departamento%20XII%20legislatu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a0d936-7a05-4486-a67f-407522af9f8a" xsi:nil="true"/>
    <lcf76f155ced4ddcb4097134ff3c332f xmlns="be5c43cf-2513-446e-a480-fb319f6d8b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09B044BC0C823489801D61625FF8CCB" ma:contentTypeVersion="16" ma:contentTypeDescription="Crear nuevo documento." ma:contentTypeScope="" ma:versionID="4b25c0eed0d7567bf3191192597a710e">
  <xsd:schema xmlns:xsd="http://www.w3.org/2001/XMLSchema" xmlns:xs="http://www.w3.org/2001/XMLSchema" xmlns:p="http://schemas.microsoft.com/office/2006/metadata/properties" xmlns:ns2="be5c43cf-2513-446e-a480-fb319f6d8bf9" xmlns:ns3="e4a0d936-7a05-4486-a67f-407522af9f8a" targetNamespace="http://schemas.microsoft.com/office/2006/metadata/properties" ma:root="true" ma:fieldsID="534c0c0d91b5cd1b0ab8a994c172dc6d" ns2:_="" ns3:_="">
    <xsd:import namespace="be5c43cf-2513-446e-a480-fb319f6d8bf9"/>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43cf-2513-446e-a480-fb319f6d8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6994e1a-8bc2-4903-bce0-9634c9694d6b}" ma:internalName="TaxCatchAll" ma:showField="CatchAllData" ma:web="e4a0d936-7a05-4486-a67f-407522af9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21C40-183C-470D-9E21-D7C3BCD93AC8}">
  <ds:schemaRefs>
    <ds:schemaRef ds:uri="http://schemas.microsoft.com/sharepoint/v3/contenttype/forms"/>
  </ds:schemaRefs>
</ds:datastoreItem>
</file>

<file path=customXml/itemProps2.xml><?xml version="1.0" encoding="utf-8"?>
<ds:datastoreItem xmlns:ds="http://schemas.openxmlformats.org/officeDocument/2006/customXml" ds:itemID="{7CE76449-CB91-4BC6-910B-070BD908A1B4}">
  <ds:schemaRefs>
    <ds:schemaRef ds:uri="http://schemas.microsoft.com/office/2006/metadata/properties"/>
    <ds:schemaRef ds:uri="http://schemas.microsoft.com/office/infopath/2007/PartnerControls"/>
    <ds:schemaRef ds:uri="e4a0d936-7a05-4486-a67f-407522af9f8a"/>
    <ds:schemaRef ds:uri="be5c43cf-2513-446e-a480-fb319f6d8bf9"/>
  </ds:schemaRefs>
</ds:datastoreItem>
</file>

<file path=customXml/itemProps3.xml><?xml version="1.0" encoding="utf-8"?>
<ds:datastoreItem xmlns:ds="http://schemas.openxmlformats.org/officeDocument/2006/customXml" ds:itemID="{3D11184F-881D-4B36-A595-E28FB6416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43cf-2513-446e-a480-fb319f6d8bf9"/>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 09 Departamento XII legislatura.dotx</Template>
  <TotalTime>2</TotalTime>
  <Pages>4</Pages>
  <Words>1223</Words>
  <Characters>6730</Characters>
  <Application>Microsoft Office Word</Application>
  <DocSecurity>0</DocSecurity>
  <Lines>56</Lines>
  <Paragraphs>15</Paragraphs>
  <ScaleCrop>false</ScaleCrop>
  <Company>EJIE</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Gutiérrez Rodríguez, Marisol</dc:creator>
  <cp:lastModifiedBy>Gutierrez Rodriguez, Mª Soledad</cp:lastModifiedBy>
  <cp:revision>2</cp:revision>
  <cp:lastPrinted>2021-02-15T15:25:00Z</cp:lastPrinted>
  <dcterms:created xsi:type="dcterms:W3CDTF">2023-05-05T11:12:00Z</dcterms:created>
  <dcterms:modified xsi:type="dcterms:W3CDTF">2023-05-05T11:12:00Z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0x010100909B044BC0C823489801D61625FF8CCB</vt:lpwstr>
  </property>
  <property fmtid="{D5CDD505-2E9C-101B-9397-08002B2CF9AE}" pid="3" name="Order">
    <vt:r8>100</vt:r8>
  </property>
  <property fmtid="{D5CDD505-2E9C-101B-9397-08002B2CF9AE}" pid="4" name="MediaServiceImageTags">
    <vt:lpwstr/>
  </property>
</Properties>
</file>